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4428FB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1010A2">
        <w:rPr>
          <w:b/>
          <w:color w:val="003359"/>
          <w:sz w:val="28"/>
          <w:szCs w:val="28"/>
        </w:rPr>
        <w:t>Verzoek</w:t>
      </w:r>
      <w:r w:rsidR="00F45D5E">
        <w:rPr>
          <w:b/>
          <w:color w:val="003359"/>
          <w:sz w:val="28"/>
          <w:szCs w:val="28"/>
        </w:rPr>
        <w:t xml:space="preserve"> behandel</w:t>
      </w:r>
      <w:r w:rsidR="001010A2">
        <w:rPr>
          <w:b/>
          <w:color w:val="003359"/>
          <w:sz w:val="28"/>
          <w:szCs w:val="28"/>
        </w:rPr>
        <w:t>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F45D5E">
        <w:t>20403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1010A2" w:rsidP="00A83D93">
            <w:r>
              <w:t>Verzoek</w:t>
            </w:r>
            <w:r w:rsidR="00A83D93">
              <w:t xml:space="preserve"> behandelen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1010A2" w:rsidP="009258D9">
            <w:r>
              <w:t>Verstrekken van producten en diensten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A83D93" w:rsidP="009258D9">
            <w:r>
              <w:t>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A83D93" w:rsidP="009258D9">
            <w:r>
              <w:t>Indienen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A83D93" w:rsidP="009258D9">
            <w:r>
              <w:t>Verzoek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A83D93" w:rsidP="009258D9">
            <w:r>
              <w:t>Behandelen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A83D93">
            <w:r>
              <w:t>G</w:t>
            </w:r>
            <w:r w:rsidR="00A83D93">
              <w:t xml:space="preserve">EMMA </w:t>
            </w:r>
            <w:r w:rsidR="00E273D8">
              <w:t>Referentiebedrijfsproces</w:t>
            </w:r>
            <w:r w:rsidR="00A83D93">
              <w:t xml:space="preserve"> </w:t>
            </w:r>
            <w:r w:rsidR="00E273D8">
              <w:t>‘</w:t>
            </w:r>
            <w:r w:rsidR="001010A2">
              <w:t>Verzoeken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9D448B" w:rsidP="00A83D93">
            <w:r w:rsidRPr="009D448B">
              <w:t xml:space="preserve">Het behandelen van een verzoek voor een fysiek product waar </w:t>
            </w:r>
            <w:r w:rsidR="00A83D93">
              <w:t>de klant</w:t>
            </w:r>
            <w:r w:rsidRPr="009D448B">
              <w:t xml:space="preserve"> meent recht op te hebben. De gemeente beoordeelt dit verzoek en geeft een antwoord. Vaak in de vorm van akkoord/niet akkoord.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1010A2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A83D93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1E2BD6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</w:t>
            </w:r>
            <w:r w:rsidR="001E2BD6">
              <w:rPr>
                <w:b/>
              </w:rPr>
              <w:t>ake</w:t>
            </w:r>
            <w:r>
              <w:rPr>
                <w:b/>
              </w:rPr>
              <w:t xml:space="preserve">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</w:pPr>
            <w:r>
              <w:t>Intern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010A2" w:rsidP="009258D9">
            <w:r w:rsidRPr="001010A2">
              <w:t>Het verzoek is ontvangen en een ontvangstbevestiging is verstuurd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010A2" w:rsidP="001010A2">
            <w:pPr>
              <w:tabs>
                <w:tab w:val="left" w:pos="1940"/>
              </w:tabs>
            </w:pPr>
            <w:r w:rsidRPr="001010A2">
              <w:t>De reactie op het verzoek is opgesteld</w:t>
            </w:r>
            <w:r>
              <w:t>.</w:t>
            </w:r>
            <w:r>
              <w:tab/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010A2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010A2" w:rsidP="009258D9">
            <w:r w:rsidRPr="001010A2">
              <w:t>De zaak is compleet en kan worden afgeslote</w:t>
            </w:r>
            <w:r>
              <w:t>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A83D93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r w:rsidRPr="003E0DDE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r w:rsidRPr="003E0DDE">
              <w:t>Eisen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pPr>
              <w:tabs>
                <w:tab w:val="left" w:pos="2019"/>
              </w:tabs>
              <w:ind w:left="460" w:hanging="425"/>
            </w:pPr>
            <w:r w:rsidRPr="003E0DDE">
              <w:t>Voldoet het aan de eisen voor indiening?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pPr>
              <w:tabs>
                <w:tab w:val="left" w:pos="2019"/>
              </w:tabs>
              <w:ind w:left="460" w:hanging="425"/>
            </w:pPr>
            <w:r w:rsidRPr="003E0DDE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r w:rsidRPr="003E0DDE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pPr>
              <w:keepNext/>
            </w:pPr>
            <w:r w:rsidRPr="003E0DDE">
              <w:t>Stukken compleet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3E0DDE">
              <w:rPr>
                <w:rFonts w:eastAsia="Times New Roman" w:cs="Arial"/>
                <w:color w:val="000000"/>
              </w:rPr>
              <w:t>Zijn de benodigde stukken aanwezig?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1010A2" w:rsidP="009258D9">
            <w:pPr>
              <w:tabs>
                <w:tab w:val="left" w:pos="2019"/>
              </w:tabs>
              <w:ind w:left="460" w:hanging="425"/>
            </w:pPr>
            <w:r w:rsidRPr="003E0DDE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E0DDE" w:rsidRDefault="00A510E5" w:rsidP="009258D9">
            <w:pPr>
              <w:ind w:left="2019" w:hanging="1985"/>
            </w:pPr>
          </w:p>
        </w:tc>
      </w:tr>
      <w:tr w:rsidR="001010A2" w:rsidRPr="00B12DAC" w:rsidTr="001010A2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3E0DDE" w:rsidRDefault="001010A2" w:rsidP="001010A2">
            <w:r w:rsidRPr="003E0DDE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3E0DDE" w:rsidRDefault="001010A2" w:rsidP="001010A2">
            <w:pPr>
              <w:keepNext/>
            </w:pPr>
            <w:r w:rsidRPr="003E0DDE">
              <w:t>Reactie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3E0DDE" w:rsidRDefault="001010A2" w:rsidP="001010A2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3E0DDE">
              <w:rPr>
                <w:rFonts w:eastAsia="Times New Roman" w:cs="Arial"/>
                <w:color w:val="000000"/>
              </w:rPr>
              <w:t>Is de reactie opgesteld?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3E0DDE" w:rsidRDefault="001010A2" w:rsidP="001010A2">
            <w:pPr>
              <w:tabs>
                <w:tab w:val="left" w:pos="2019"/>
              </w:tabs>
              <w:ind w:left="460" w:hanging="425"/>
            </w:pPr>
            <w:r w:rsidRPr="003E0DDE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3E0DDE" w:rsidRDefault="001010A2" w:rsidP="001010A2">
            <w:pPr>
              <w:ind w:left="2019" w:hanging="1985"/>
            </w:pPr>
          </w:p>
        </w:tc>
      </w:tr>
      <w:tr w:rsidR="00A83D93" w:rsidRPr="00B12DAC" w:rsidTr="001010A2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Pr="003E0DDE" w:rsidRDefault="00A83D93" w:rsidP="001010A2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Pr="003E0DDE" w:rsidRDefault="00A83D93" w:rsidP="001010A2">
            <w:pPr>
              <w:keepNext/>
            </w:pPr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Pr="003E0DDE" w:rsidRDefault="00A83D93" w:rsidP="001010A2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Pr="003E0DDE" w:rsidRDefault="00A83D93" w:rsidP="001010A2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Pr="003E0DDE" w:rsidRDefault="00A83D93" w:rsidP="001010A2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A83D93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1010A2">
              <w:rPr>
                <w:b/>
              </w:rPr>
              <w:t>.t.b</w:t>
            </w:r>
            <w:proofErr w:type="spellEnd"/>
            <w:r w:rsidR="001010A2"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1010A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A83D93"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A83D93"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A83D93"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A83D93"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A83D9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A83D9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A83D93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1010A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Ontvangstbevestiging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010A2" w:rsidP="009258D9">
            <w:pPr>
              <w:keepNext/>
            </w:pPr>
            <w:r>
              <w:t>Bevestiging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A83D93" w:rsidP="009258D9">
            <w:pPr>
              <w:keepNext/>
            </w:pPr>
            <w:r>
              <w:t>Uitgaand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1010A2" w:rsidRPr="00FC1FDE" w:rsidTr="001010A2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FC1FDE" w:rsidRDefault="001010A2" w:rsidP="001010A2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aanvullende informatie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>
              <w:t>Verzoek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A83D93" w:rsidP="001010A2">
            <w:pPr>
              <w:keepNext/>
            </w:pPr>
            <w:r>
              <w:t>Uitgaand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1010A2" w:rsidRPr="000D623D" w:rsidTr="001010A2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010A2" w:rsidRDefault="001010A2" w:rsidP="001010A2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Default="001010A2" w:rsidP="001010A2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0D623D" w:rsidRDefault="001010A2" w:rsidP="001010A2"/>
        </w:tc>
      </w:tr>
      <w:tr w:rsidR="001010A2" w:rsidRPr="00FC1FDE" w:rsidTr="001010A2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FC1FDE" w:rsidRDefault="001010A2" w:rsidP="001010A2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Aanvulling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>
              <w:t>Verzoek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A83D93" w:rsidP="001010A2">
            <w:pPr>
              <w:keepNext/>
            </w:pPr>
            <w:r>
              <w:t>Inkomend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1010A2" w:rsidRPr="000D623D" w:rsidTr="001010A2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010A2" w:rsidRDefault="001010A2" w:rsidP="001010A2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Default="001010A2" w:rsidP="001010A2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0D623D" w:rsidRDefault="001010A2" w:rsidP="001010A2"/>
        </w:tc>
      </w:tr>
      <w:tr w:rsidR="001010A2" w:rsidRPr="00FC1FDE" w:rsidTr="001010A2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FC1FDE" w:rsidRDefault="001010A2" w:rsidP="001010A2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Toekenning verzoek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>
              <w:t>Besluit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A83D93" w:rsidP="001010A2">
            <w:pPr>
              <w:keepNext/>
            </w:pPr>
            <w:r>
              <w:t>Uitgaand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1010A2" w:rsidRPr="000D623D" w:rsidTr="001010A2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010A2" w:rsidRDefault="001010A2" w:rsidP="001010A2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Default="001010A2" w:rsidP="001010A2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0D623D" w:rsidRDefault="001010A2" w:rsidP="001010A2"/>
        </w:tc>
      </w:tr>
      <w:tr w:rsidR="001010A2" w:rsidRPr="00FC1FDE" w:rsidTr="001010A2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FC1FDE" w:rsidRDefault="001010A2" w:rsidP="001010A2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Afwijzing verzoek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>
              <w:t>Besluit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A83D93" w:rsidP="001010A2">
            <w:pPr>
              <w:keepNext/>
            </w:pPr>
            <w:r>
              <w:t>Uitgaand</w:t>
            </w: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</w:p>
        </w:tc>
      </w:tr>
      <w:tr w:rsidR="001010A2" w:rsidRPr="00873152" w:rsidTr="001010A2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010A2" w:rsidRDefault="001010A2" w:rsidP="001010A2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873152" w:rsidRDefault="001010A2" w:rsidP="001010A2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1010A2" w:rsidRPr="000D623D" w:rsidTr="001010A2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010A2" w:rsidRDefault="001010A2" w:rsidP="001010A2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Default="001010A2" w:rsidP="001010A2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10A2" w:rsidRPr="000D623D" w:rsidRDefault="001010A2" w:rsidP="001010A2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A83D93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C459C6">
              <w:rPr>
                <w:b/>
              </w:rPr>
              <w:t>.t.b</w:t>
            </w:r>
            <w:proofErr w:type="spellEnd"/>
            <w:r w:rsidR="00C459C6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F45D5E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1010A2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1010A2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1010A2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1010A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F45D5E" w:rsidP="00267924">
            <w:pPr>
              <w:keepNext/>
              <w:rPr>
                <w:b/>
              </w:rPr>
            </w:pPr>
            <w:r>
              <w:rPr>
                <w:b/>
              </w:rPr>
              <w:t>verleend</w:t>
            </w:r>
          </w:p>
        </w:tc>
      </w:tr>
      <w:tr w:rsidR="005D5A53" w:rsidTr="001010A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</w:pP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D7637D" w:rsidP="001010A2">
            <w:pPr>
              <w:keepNext/>
            </w:pPr>
            <w:r>
              <w:t>3.7.2 Gemeentelijke basisadministratie persoonsgegevens</w:t>
            </w:r>
          </w:p>
          <w:p w:rsidR="00D7637D" w:rsidRDefault="00D7637D" w:rsidP="00F9793C">
            <w:pPr>
              <w:keepNext/>
            </w:pPr>
            <w:r>
              <w:t>3.7.3 Nationaliteit</w:t>
            </w:r>
          </w:p>
          <w:p w:rsidR="00E83086" w:rsidRDefault="00E83086" w:rsidP="00F9793C">
            <w:pPr>
              <w:keepNext/>
            </w:pPr>
            <w:r>
              <w:t>3.14.1 Bijstandsverlening</w:t>
            </w:r>
          </w:p>
          <w:p w:rsidR="00E83086" w:rsidRDefault="00E83086" w:rsidP="00F9793C">
            <w:pPr>
              <w:keepNext/>
            </w:pPr>
            <w:r>
              <w:t>2.7 Verlening van vergunningen, machtigingen, verklaringen van geen bezwaar e.d.</w:t>
            </w:r>
          </w:p>
          <w:p w:rsidR="00E83086" w:rsidRDefault="00E83086" w:rsidP="00F9793C">
            <w:pPr>
              <w:keepNext/>
            </w:pPr>
            <w:r>
              <w:t>3.7.3 Nationaliteit</w:t>
            </w:r>
          </w:p>
          <w:p w:rsidR="00E83086" w:rsidRDefault="00E83086" w:rsidP="00F9793C">
            <w:pPr>
              <w:keepNext/>
            </w:pPr>
            <w:r>
              <w:t>3.8.5 Lijkbezorging</w:t>
            </w:r>
          </w:p>
          <w:p w:rsidR="00E83086" w:rsidRDefault="00E83086" w:rsidP="00F9793C">
            <w:pPr>
              <w:keepNext/>
            </w:pPr>
            <w:r>
              <w:t>3.7.5 Reisdocumenten (Paspoortwet- en regelgeving)</w:t>
            </w:r>
          </w:p>
          <w:p w:rsidR="00E83086" w:rsidRPr="007B3742" w:rsidRDefault="00E83086" w:rsidP="00F9793C">
            <w:pPr>
              <w:keepNext/>
            </w:pPr>
            <w:r>
              <w:t>3.14.3 Zorg voor bepaalde groepen</w:t>
            </w: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1010A2">
            <w:pPr>
              <w:keepNext/>
            </w:pPr>
            <w:r>
              <w:t>Vernietigen, blijvend bewaren</w:t>
            </w: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1010A2">
            <w:pPr>
              <w:keepNext/>
            </w:pPr>
            <w:r>
              <w:t>2- 110 jaar</w:t>
            </w: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1010A2">
            <w:pPr>
              <w:keepNext/>
            </w:pPr>
            <w:r>
              <w:t xml:space="preserve">Ander datumkenmerk (vervallen), eigenschap (geboorte) </w:t>
            </w: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</w:pP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</w:pP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</w:pP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1010A2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1010A2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1010A2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C459C6" w:rsidP="001010A2">
            <w:r>
              <w:t>De gemeente gaat akkoord met het verzoek.</w:t>
            </w:r>
          </w:p>
          <w:p w:rsidR="00A83D93" w:rsidRPr="000D623D" w:rsidRDefault="00A83D93" w:rsidP="001010A2">
            <w:r>
              <w:t>De bewaartermijn is afhankelijk van datgene waarom verzocht wordt.</w:t>
            </w:r>
          </w:p>
        </w:tc>
      </w:tr>
      <w:tr w:rsidR="005D5A53" w:rsidRPr="007B3742" w:rsidTr="001010A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F45D5E" w:rsidP="001010A2">
            <w:pPr>
              <w:keepNext/>
              <w:rPr>
                <w:b/>
              </w:rPr>
            </w:pPr>
            <w:r>
              <w:rPr>
                <w:b/>
              </w:rPr>
              <w:t>geweigerd</w:t>
            </w:r>
          </w:p>
        </w:tc>
      </w:tr>
      <w:tr w:rsidR="005D5A53" w:rsidRPr="007B3742" w:rsidTr="001010A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/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682081" w:rsidP="00F45D5E">
            <w:r>
              <w:t>3.7.3 Nationaliteit</w:t>
            </w:r>
          </w:p>
          <w:p w:rsidR="00682081" w:rsidRDefault="00682081" w:rsidP="00F45D5E">
            <w:r>
              <w:t>3.7.2 Gemeentelijke basisadministratie persoonsgegevens</w:t>
            </w:r>
          </w:p>
          <w:p w:rsidR="00682081" w:rsidRDefault="00682081" w:rsidP="00F45D5E">
            <w:r>
              <w:t>3.14.1 Bijstandsverlening</w:t>
            </w:r>
          </w:p>
          <w:p w:rsidR="00682081" w:rsidRDefault="00682081" w:rsidP="00682081">
            <w:pPr>
              <w:keepNext/>
            </w:pPr>
            <w:r>
              <w:t>2.7 Verlening van vergunningen, machtigingen, verklaringen van geen bezwaar e.d.</w:t>
            </w:r>
          </w:p>
          <w:p w:rsidR="00682081" w:rsidRDefault="00682081" w:rsidP="00682081">
            <w:pPr>
              <w:keepNext/>
            </w:pPr>
            <w:r>
              <w:t>3.8.5 Lijkbezorging</w:t>
            </w:r>
          </w:p>
          <w:p w:rsidR="00682081" w:rsidRDefault="00682081" w:rsidP="00682081">
            <w:pPr>
              <w:keepNext/>
            </w:pPr>
            <w:r>
              <w:t>3.7.5 Reisdocumenten (Paspoortwet- en regelgeving)</w:t>
            </w:r>
          </w:p>
          <w:p w:rsidR="00682081" w:rsidRPr="007B3742" w:rsidRDefault="00682081" w:rsidP="00682081">
            <w:pPr>
              <w:keepNext/>
            </w:pPr>
            <w:r>
              <w:t>3.14.3 Zorg voor bepaalde groepen</w:t>
            </w:r>
          </w:p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F45D5E">
            <w:r>
              <w:t>Vernietigen</w:t>
            </w:r>
          </w:p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F45D5E">
            <w:r>
              <w:t>3- 110 jaar</w:t>
            </w:r>
          </w:p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682081" w:rsidP="00F45D5E">
            <w:r>
              <w:t>Afgehandeld, eigenschap (geboorte)</w:t>
            </w:r>
          </w:p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/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/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/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F45D5E">
            <w:r w:rsidRPr="007B3742">
              <w:rPr>
                <w:i/>
              </w:rPr>
              <w:t>Toelichting</w:t>
            </w:r>
          </w:p>
        </w:tc>
      </w:tr>
      <w:tr w:rsidR="005D5A53" w:rsidRPr="007B3742" w:rsidTr="001010A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F45D5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3D93" w:rsidRDefault="00C459C6" w:rsidP="00A83D93">
            <w:r>
              <w:t>De gemeente gaat niet akkoord met het verzoek.</w:t>
            </w:r>
            <w:r w:rsidR="00A83D93">
              <w:t xml:space="preserve"> </w:t>
            </w:r>
          </w:p>
          <w:p w:rsidR="005D5A53" w:rsidRPr="000D623D" w:rsidRDefault="00A83D93" w:rsidP="00A83D93">
            <w:r>
              <w:t>De bewaartermijn is afhankelijk van datgene waarom verzocht wordt.</w:t>
            </w:r>
          </w:p>
        </w:tc>
      </w:tr>
      <w:tr w:rsidR="00C459C6" w:rsidRPr="007B3742" w:rsidTr="00D7637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F45D5E" w:rsidP="00D7637D">
            <w:pPr>
              <w:keepNext/>
              <w:rPr>
                <w:b/>
              </w:rPr>
            </w:pPr>
            <w:r>
              <w:rPr>
                <w:b/>
              </w:rPr>
              <w:t>i</w:t>
            </w:r>
            <w:r w:rsidR="00C459C6">
              <w:rPr>
                <w:b/>
              </w:rPr>
              <w:t>ngetrokken</w:t>
            </w:r>
          </w:p>
        </w:tc>
      </w:tr>
      <w:tr w:rsidR="00C459C6" w:rsidRPr="007B3742" w:rsidTr="00D7637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</w:p>
        </w:tc>
      </w:tr>
      <w:tr w:rsidR="00C459C6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459C6" w:rsidRDefault="00C459C6" w:rsidP="00D7637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7B3742" w:rsidRDefault="00C459C6" w:rsidP="00D7637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C459C6" w:rsidRPr="000D623D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Default="00C459C6" w:rsidP="00D7637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459C6" w:rsidRPr="000D623D" w:rsidRDefault="00C459C6" w:rsidP="00D7637D">
            <w:r>
              <w:t xml:space="preserve">Het verzoek is ingetrokken. </w:t>
            </w:r>
          </w:p>
        </w:tc>
      </w:tr>
      <w:tr w:rsidR="00F45D5E" w:rsidRPr="007B3742" w:rsidTr="00D7637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b/>
              </w:rPr>
            </w:pPr>
            <w:r>
              <w:rPr>
                <w:b/>
              </w:rPr>
              <w:t>niet nodig</w:t>
            </w:r>
          </w:p>
        </w:tc>
      </w:tr>
      <w:tr w:rsidR="00F45D5E" w:rsidRPr="007B3742" w:rsidTr="00D7637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</w:pP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Default="006259B6" w:rsidP="00D7637D">
            <w:pPr>
              <w:keepNext/>
            </w:pPr>
            <w:r>
              <w:t>3.14.1 Bijstandsverlening</w:t>
            </w:r>
          </w:p>
          <w:p w:rsidR="006259B6" w:rsidRDefault="006259B6" w:rsidP="00D7637D">
            <w:pPr>
              <w:keepNext/>
            </w:pPr>
            <w:r>
              <w:t>2.7 Verlening van vergunningen, machtigingen, verklaringen van geen bezwaar e.d.</w:t>
            </w:r>
            <w:bookmarkStart w:id="1" w:name="_GoBack"/>
            <w:bookmarkEnd w:id="1"/>
          </w:p>
          <w:p w:rsidR="006259B6" w:rsidRDefault="006259B6" w:rsidP="00D7637D">
            <w:pPr>
              <w:keepNext/>
            </w:pPr>
            <w:r>
              <w:t>3.8.5 Lijkbezorging</w:t>
            </w:r>
          </w:p>
          <w:p w:rsidR="006259B6" w:rsidRPr="007B3742" w:rsidRDefault="006259B6" w:rsidP="00D7637D">
            <w:pPr>
              <w:keepNext/>
            </w:pPr>
            <w:r>
              <w:t>3.14.3 Zorg voor bepaalde groepen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6259B6" w:rsidP="00D7637D">
            <w:pPr>
              <w:keepNext/>
            </w:pPr>
            <w:r>
              <w:t>Vernietigen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6259B6" w:rsidP="00D7637D">
            <w:pPr>
              <w:keepNext/>
            </w:pPr>
            <w:r>
              <w:t>1 jaar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6259B6" w:rsidP="00D7637D">
            <w:pPr>
              <w:keepNext/>
            </w:pPr>
            <w:r>
              <w:t>afgehandeld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</w:pP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</w:pP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</w:pP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D7637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F45D5E" w:rsidRPr="000D623D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Default="00F45D5E" w:rsidP="00D7637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0D623D" w:rsidRDefault="00F45D5E" w:rsidP="00D7637D">
            <w:r>
              <w:t xml:space="preserve">Het verzoek is ingetrokken. </w:t>
            </w:r>
          </w:p>
        </w:tc>
      </w:tr>
      <w:tr w:rsidR="00F45D5E" w:rsidRPr="007B3742" w:rsidTr="00D7637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D7637D">
            <w:pPr>
              <w:keepNext/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F45D5E" w:rsidRPr="007B3742" w:rsidTr="00D7637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/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3086" w:rsidRDefault="00E83086" w:rsidP="00E83086">
            <w:pPr>
              <w:keepNext/>
            </w:pPr>
            <w:r>
              <w:t>3.5.7 (Re)presentatie</w:t>
            </w:r>
          </w:p>
          <w:p w:rsidR="00E83086" w:rsidRDefault="00E83086" w:rsidP="00E83086">
            <w:pPr>
              <w:keepNext/>
            </w:pPr>
            <w:r>
              <w:t>3.7.2 Gemeentelijke basisadministratie persoonsgegevens</w:t>
            </w:r>
          </w:p>
          <w:p w:rsidR="00E83086" w:rsidRDefault="00E83086" w:rsidP="00E83086">
            <w:pPr>
              <w:keepNext/>
            </w:pPr>
            <w:r>
              <w:lastRenderedPageBreak/>
              <w:t>2.24 Klachten, inspraak</w:t>
            </w:r>
          </w:p>
          <w:p w:rsidR="00E83086" w:rsidRDefault="00E83086" w:rsidP="00E83086">
            <w:pPr>
              <w:keepNext/>
            </w:pPr>
            <w:r>
              <w:t>3.7.1 Burgerlijke stand</w:t>
            </w:r>
          </w:p>
          <w:p w:rsidR="00F45D5E" w:rsidRPr="007B3742" w:rsidRDefault="00E83086" w:rsidP="00E83086">
            <w:r>
              <w:t>3.6.1 Planologie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E83086" w:rsidP="00F45D5E">
            <w:r>
              <w:t>Vernietigen, Blijvend bewaren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682081" w:rsidP="00F45D5E">
            <w:r>
              <w:t>1</w:t>
            </w:r>
            <w:r w:rsidR="00E83086">
              <w:t>- 110 jaar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682081" w:rsidP="00F45D5E">
            <w:r>
              <w:t>E</w:t>
            </w:r>
            <w:r w:rsidR="00E83086">
              <w:t>igenschap (geboorte)</w:t>
            </w:r>
            <w:r>
              <w:t>, afgehandeld, ander datumkenmerk (vervallen)</w:t>
            </w:r>
          </w:p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/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/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/>
        </w:tc>
      </w:tr>
      <w:tr w:rsidR="00F45D5E" w:rsidRPr="007B3742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7B3742" w:rsidRDefault="00F45D5E" w:rsidP="00F45D5E">
            <w:r w:rsidRPr="007B3742">
              <w:rPr>
                <w:i/>
              </w:rPr>
              <w:t>Toelichting</w:t>
            </w:r>
          </w:p>
        </w:tc>
      </w:tr>
      <w:tr w:rsidR="00F45D5E" w:rsidRPr="000D623D" w:rsidTr="00D7637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Default="00F45D5E" w:rsidP="00F45D5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5D5E" w:rsidRPr="000D623D" w:rsidRDefault="00A83D93" w:rsidP="00A83D93">
            <w:r>
              <w:t>De bewaartermijn is afhankelijk van datgene waarom verzocht wordt.</w:t>
            </w:r>
          </w:p>
        </w:tc>
      </w:tr>
      <w:tr w:rsidR="00F9793C" w:rsidRPr="007B3742" w:rsidTr="00F9793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b/>
              </w:rPr>
            </w:pPr>
            <w:r>
              <w:rPr>
                <w:b/>
              </w:rPr>
              <w:t>toegekend</w:t>
            </w:r>
          </w:p>
        </w:tc>
      </w:tr>
      <w:tr w:rsidR="00F9793C" w:rsidRPr="007B3742" w:rsidTr="00F9793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</w:pP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Default="00E83086" w:rsidP="00F9793C">
            <w:pPr>
              <w:keepNext/>
            </w:pPr>
            <w:r>
              <w:t>2.22 Verzekeringen</w:t>
            </w:r>
          </w:p>
          <w:p w:rsidR="00E83086" w:rsidRDefault="00E83086" w:rsidP="00F9793C">
            <w:pPr>
              <w:keepNext/>
            </w:pPr>
            <w:r>
              <w:t>2.17 Regeling privaatrechtelijke rechtsverhoudingen</w:t>
            </w:r>
          </w:p>
          <w:p w:rsidR="00E83086" w:rsidRPr="007B3742" w:rsidRDefault="00E83086" w:rsidP="00F9793C">
            <w:pPr>
              <w:keepNext/>
            </w:pPr>
            <w:r>
              <w:t>2.3 Intermediair optreden</w:t>
            </w: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682081" w:rsidP="00F9793C">
            <w:pPr>
              <w:keepNext/>
            </w:pPr>
            <w:r>
              <w:t>Vernietigen</w:t>
            </w: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682081" w:rsidP="00F9793C">
            <w:pPr>
              <w:keepNext/>
            </w:pPr>
            <w:r>
              <w:t>5- 7 jaar</w:t>
            </w: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682081" w:rsidP="00F9793C">
            <w:pPr>
              <w:keepNext/>
            </w:pPr>
            <w:r>
              <w:t>Ander datumkenmerk(vervallen)</w:t>
            </w: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</w:pP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</w:pP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7B3742" w:rsidRDefault="00F9793C" w:rsidP="00F9793C">
            <w:pPr>
              <w:keepNext/>
            </w:pPr>
          </w:p>
        </w:tc>
      </w:tr>
      <w:tr w:rsidR="00F9793C" w:rsidRPr="007B3742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9793C" w:rsidRDefault="00F9793C" w:rsidP="00F9793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E83086" w:rsidRDefault="00F9793C" w:rsidP="00F9793C">
            <w:pPr>
              <w:keepNext/>
              <w:rPr>
                <w:highlight w:val="yellow"/>
              </w:rPr>
            </w:pPr>
            <w:r w:rsidRPr="00A83D93">
              <w:rPr>
                <w:i/>
              </w:rPr>
              <w:t>Toelichting</w:t>
            </w:r>
          </w:p>
        </w:tc>
      </w:tr>
      <w:tr w:rsidR="00F9793C" w:rsidRPr="000D623D" w:rsidTr="00F9793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Default="00F9793C" w:rsidP="00F9793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9793C" w:rsidRPr="00E83086" w:rsidRDefault="00A83D93" w:rsidP="00A83D93">
            <w:pPr>
              <w:rPr>
                <w:highlight w:val="yellow"/>
              </w:rPr>
            </w:pPr>
            <w:r>
              <w:t>De bewaartermijn is afhankelijk van datgene waarom verzocht wordt.</w:t>
            </w:r>
          </w:p>
        </w:tc>
      </w:tr>
      <w:tr w:rsidR="00682081" w:rsidRPr="007B3742" w:rsidTr="00AF11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b/>
              </w:rPr>
            </w:pPr>
            <w:r>
              <w:rPr>
                <w:b/>
              </w:rPr>
              <w:t>gegrond</w:t>
            </w:r>
          </w:p>
        </w:tc>
      </w:tr>
      <w:tr w:rsidR="00682081" w:rsidRPr="007B3742" w:rsidTr="00AF11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/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r>
              <w:t xml:space="preserve">3.7.2 Gemeentelijke </w:t>
            </w:r>
            <w:proofErr w:type="spellStart"/>
            <w:r>
              <w:t>bassiadministratie</w:t>
            </w:r>
            <w:proofErr w:type="spellEnd"/>
            <w:r>
              <w:t xml:space="preserve"> </w:t>
            </w:r>
            <w:proofErr w:type="spellStart"/>
            <w:r>
              <w:t>persoongsgegevens</w:t>
            </w:r>
            <w:proofErr w:type="spellEnd"/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259B6" w:rsidP="00A83D93">
            <w:r>
              <w:t>Vernietigen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259B6" w:rsidP="00A83D93">
            <w:r>
              <w:t>5 jaar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259B6" w:rsidP="00A83D93">
            <w:r>
              <w:t>Ander datumkenmerk (vervallen)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/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/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83D93"/>
        </w:tc>
      </w:tr>
      <w:tr w:rsidR="00682081" w:rsidRPr="00E83086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E83086" w:rsidRDefault="00682081" w:rsidP="00A83D93">
            <w:pPr>
              <w:rPr>
                <w:highlight w:val="yellow"/>
              </w:rPr>
            </w:pPr>
            <w:r w:rsidRPr="00A83D93">
              <w:rPr>
                <w:i/>
              </w:rPr>
              <w:t>Toelichting</w:t>
            </w:r>
          </w:p>
        </w:tc>
      </w:tr>
      <w:tr w:rsidR="00682081" w:rsidRPr="00E83086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Default="00682081" w:rsidP="00A83D9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E83086" w:rsidRDefault="00682081" w:rsidP="00A83D93">
            <w:pPr>
              <w:rPr>
                <w:highlight w:val="yellow"/>
              </w:rPr>
            </w:pPr>
          </w:p>
        </w:tc>
      </w:tr>
      <w:tr w:rsidR="00682081" w:rsidRPr="007B3742" w:rsidTr="00AF11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b/>
              </w:rPr>
            </w:pPr>
            <w:r>
              <w:rPr>
                <w:b/>
              </w:rPr>
              <w:t>afgewezen</w:t>
            </w:r>
          </w:p>
        </w:tc>
      </w:tr>
      <w:tr w:rsidR="00682081" w:rsidRPr="007B3742" w:rsidTr="00AF11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Default="00682081" w:rsidP="00682081">
            <w:pPr>
              <w:keepNext/>
            </w:pPr>
            <w:r>
              <w:t>2.22 Verzekeringen</w:t>
            </w:r>
          </w:p>
          <w:p w:rsidR="00682081" w:rsidRDefault="00682081" w:rsidP="00682081">
            <w:pPr>
              <w:keepNext/>
            </w:pPr>
            <w:r>
              <w:t>2.17 Regeling privaatrechtelijke rechtsverhoudingen</w:t>
            </w:r>
          </w:p>
          <w:p w:rsidR="00682081" w:rsidRPr="007B3742" w:rsidRDefault="00682081" w:rsidP="00682081">
            <w:pPr>
              <w:keepNext/>
            </w:pPr>
            <w:r>
              <w:t>2.3 Intermediair optreden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  <w:r>
              <w:t>Vernietigen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  <w:r>
              <w:t>3- 7 jaar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  <w:r>
              <w:t>Afgehandeld, ander datumkenmerk (vervallen)</w:t>
            </w: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</w:p>
        </w:tc>
      </w:tr>
      <w:tr w:rsidR="00682081" w:rsidRPr="007B3742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7B3742" w:rsidRDefault="00682081" w:rsidP="00AF11DA">
            <w:pPr>
              <w:keepNext/>
            </w:pPr>
          </w:p>
        </w:tc>
      </w:tr>
      <w:tr w:rsidR="00682081" w:rsidRPr="00E83086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82081" w:rsidRDefault="00682081" w:rsidP="00AF11DA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E83086" w:rsidRDefault="00682081" w:rsidP="00AF11DA">
            <w:pPr>
              <w:keepNext/>
              <w:rPr>
                <w:highlight w:val="yellow"/>
              </w:rPr>
            </w:pPr>
            <w:r w:rsidRPr="00A83D93">
              <w:rPr>
                <w:i/>
              </w:rPr>
              <w:t>Toelichting</w:t>
            </w:r>
          </w:p>
        </w:tc>
      </w:tr>
      <w:tr w:rsidR="00682081" w:rsidRPr="00E83086" w:rsidTr="00AF11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Default="00682081" w:rsidP="00AF11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2081" w:rsidRPr="00E83086" w:rsidRDefault="00A83D93" w:rsidP="00A83D93">
            <w:pPr>
              <w:rPr>
                <w:highlight w:val="yellow"/>
              </w:rPr>
            </w:pPr>
            <w:r>
              <w:t>De bewaartermijn is afhankelijk van datgene waarom verzocht wordt.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A14" w:rsidRDefault="00042A14" w:rsidP="00E34F8A">
      <w:pPr>
        <w:spacing w:after="0" w:line="240" w:lineRule="auto"/>
      </w:pPr>
      <w:r>
        <w:separator/>
      </w:r>
    </w:p>
  </w:endnote>
  <w:endnote w:type="continuationSeparator" w:id="0">
    <w:p w:rsidR="00042A14" w:rsidRDefault="00042A14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83086" w:rsidRPr="00AE6B3F" w:rsidRDefault="00E8308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0E66CF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0E66CF" w:rsidRPr="00AE6B3F">
              <w:rPr>
                <w:sz w:val="18"/>
                <w:szCs w:val="18"/>
              </w:rPr>
              <w:fldChar w:fldCharType="separate"/>
            </w:r>
            <w:r w:rsidR="004428FB">
              <w:rPr>
                <w:noProof/>
                <w:sz w:val="18"/>
                <w:szCs w:val="18"/>
              </w:rPr>
              <w:t>1</w:t>
            </w:r>
            <w:r w:rsidR="000E66CF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4428FB" w:rsidRPr="004428FB">
                <w:rPr>
                  <w:noProof/>
                  <w:sz w:val="18"/>
                  <w:szCs w:val="18"/>
                </w:rPr>
                <w:t>10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A14" w:rsidRDefault="00042A14" w:rsidP="00E34F8A">
      <w:pPr>
        <w:spacing w:after="0" w:line="240" w:lineRule="auto"/>
      </w:pPr>
      <w:r>
        <w:separator/>
      </w:r>
    </w:p>
  </w:footnote>
  <w:footnote w:type="continuationSeparator" w:id="0">
    <w:p w:rsidR="00042A14" w:rsidRDefault="00042A14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2A14"/>
    <w:rsid w:val="0004442F"/>
    <w:rsid w:val="00051DBA"/>
    <w:rsid w:val="000654DC"/>
    <w:rsid w:val="000673D7"/>
    <w:rsid w:val="00094027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0E66CF"/>
    <w:rsid w:val="001010A2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E2BD6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0408"/>
    <w:rsid w:val="003B61CA"/>
    <w:rsid w:val="003C208F"/>
    <w:rsid w:val="003E0DDE"/>
    <w:rsid w:val="003E11AF"/>
    <w:rsid w:val="003E5D6C"/>
    <w:rsid w:val="00405B37"/>
    <w:rsid w:val="004237F6"/>
    <w:rsid w:val="004264BB"/>
    <w:rsid w:val="00426AE0"/>
    <w:rsid w:val="0043155A"/>
    <w:rsid w:val="00441899"/>
    <w:rsid w:val="004428FB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59B6"/>
    <w:rsid w:val="006273C1"/>
    <w:rsid w:val="00644A6F"/>
    <w:rsid w:val="00651CA1"/>
    <w:rsid w:val="00672E0B"/>
    <w:rsid w:val="00682081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63B99"/>
    <w:rsid w:val="00873152"/>
    <w:rsid w:val="008754C0"/>
    <w:rsid w:val="008939AB"/>
    <w:rsid w:val="008A1EC2"/>
    <w:rsid w:val="008B0BA1"/>
    <w:rsid w:val="008D52C0"/>
    <w:rsid w:val="008D737D"/>
    <w:rsid w:val="008E6272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D448B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3D93"/>
    <w:rsid w:val="00A86B29"/>
    <w:rsid w:val="00A95679"/>
    <w:rsid w:val="00A962BA"/>
    <w:rsid w:val="00AB2851"/>
    <w:rsid w:val="00AD2CF9"/>
    <w:rsid w:val="00AD4F26"/>
    <w:rsid w:val="00AD7EDC"/>
    <w:rsid w:val="00AE6B3F"/>
    <w:rsid w:val="00AE75AF"/>
    <w:rsid w:val="00AF11B1"/>
    <w:rsid w:val="00B0409E"/>
    <w:rsid w:val="00B06DEF"/>
    <w:rsid w:val="00B12DAC"/>
    <w:rsid w:val="00B26554"/>
    <w:rsid w:val="00B27469"/>
    <w:rsid w:val="00B3018E"/>
    <w:rsid w:val="00B30909"/>
    <w:rsid w:val="00B36866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59C6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2FBC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7637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0686"/>
    <w:rsid w:val="00E72B42"/>
    <w:rsid w:val="00E741FD"/>
    <w:rsid w:val="00E8050A"/>
    <w:rsid w:val="00E824EF"/>
    <w:rsid w:val="00E82D8F"/>
    <w:rsid w:val="00E83086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45D5E"/>
    <w:rsid w:val="00F6648D"/>
    <w:rsid w:val="00F7034D"/>
    <w:rsid w:val="00F77BDD"/>
    <w:rsid w:val="00F8242C"/>
    <w:rsid w:val="00F84C07"/>
    <w:rsid w:val="00F90115"/>
    <w:rsid w:val="00F96A10"/>
    <w:rsid w:val="00F9793C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068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1434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Verzoeken_P4.3</dc:subject>
  <dc:creator>KING Gemeenten</dc:creator>
  <cp:keywords>ztc zaaktype</cp:keywords>
  <cp:lastModifiedBy>Arjan</cp:lastModifiedBy>
  <cp:revision>13</cp:revision>
  <cp:lastPrinted>2014-12-08T22:58:00Z</cp:lastPrinted>
  <dcterms:created xsi:type="dcterms:W3CDTF">2014-12-17T11:32:00Z</dcterms:created>
  <dcterms:modified xsi:type="dcterms:W3CDTF">2014-12-29T23:49:00Z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